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03FE6" w14:textId="77777777" w:rsidR="00764806" w:rsidRDefault="00764806" w:rsidP="00764806">
      <w:pPr>
        <w:jc w:val="right"/>
        <w:rPr>
          <w:rFonts w:ascii="Aharoni" w:hAnsi="Aharoni" w:cs="Aharoni"/>
          <w:color w:val="999999"/>
          <w:sz w:val="32"/>
          <w:szCs w:val="32"/>
        </w:rPr>
      </w:pPr>
      <w:r>
        <w:rPr>
          <w:rFonts w:ascii="Aharoni" w:hAnsi="Aharoni" w:cs="Aharoni" w:hint="cs"/>
          <w:color w:val="999999"/>
          <w:sz w:val="32"/>
          <w:szCs w:val="32"/>
        </w:rPr>
        <w:t>News Release</w:t>
      </w:r>
    </w:p>
    <w:p w14:paraId="2D903751" w14:textId="77777777" w:rsidR="00764806" w:rsidRDefault="00764806" w:rsidP="00764806">
      <w:r>
        <w:rPr>
          <w:noProof/>
        </w:rPr>
        <w:drawing>
          <wp:inline distT="0" distB="0" distL="0" distR="0" wp14:anchorId="619E2CA4" wp14:editId="0C2370EA">
            <wp:extent cx="3324225" cy="457200"/>
            <wp:effectExtent l="0" t="0" r="9525" b="0"/>
            <wp:docPr id="1" name="図 1" descr="logo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4225" cy="457200"/>
                    </a:xfrm>
                    <a:prstGeom prst="rect">
                      <a:avLst/>
                    </a:prstGeom>
                    <a:noFill/>
                    <a:ln>
                      <a:noFill/>
                    </a:ln>
                  </pic:spPr>
                </pic:pic>
              </a:graphicData>
            </a:graphic>
          </wp:inline>
        </w:drawing>
      </w:r>
      <w:r>
        <w:t xml:space="preserve"> </w:t>
      </w:r>
    </w:p>
    <w:p w14:paraId="10A6F353" w14:textId="027C5D71" w:rsidR="00764806" w:rsidRDefault="00764806" w:rsidP="00764806">
      <w:pPr>
        <w:jc w:val="right"/>
      </w:pPr>
      <w:r>
        <w:t>20</w:t>
      </w:r>
      <w:r>
        <w:rPr>
          <w:rFonts w:hint="eastAsia"/>
        </w:rPr>
        <w:t>2</w:t>
      </w:r>
      <w:r w:rsidR="007271A7">
        <w:t>1</w:t>
      </w:r>
      <w:r>
        <w:rPr>
          <w:rFonts w:hint="eastAsia"/>
        </w:rPr>
        <w:t>年</w:t>
      </w:r>
      <w:r w:rsidR="007271A7">
        <w:t>3</w:t>
      </w:r>
      <w:r>
        <w:rPr>
          <w:rFonts w:hint="eastAsia"/>
        </w:rPr>
        <w:t>月</w:t>
      </w:r>
      <w:r w:rsidR="00E54099">
        <w:t>8</w:t>
      </w:r>
      <w:r>
        <w:rPr>
          <w:rFonts w:hint="eastAsia"/>
        </w:rPr>
        <w:t>日</w:t>
      </w:r>
    </w:p>
    <w:p w14:paraId="6FD162E8" w14:textId="77777777" w:rsidR="00A879D9" w:rsidRDefault="00A879D9" w:rsidP="00764806">
      <w:pPr>
        <w:jc w:val="right"/>
      </w:pPr>
    </w:p>
    <w:p w14:paraId="4ECC617B" w14:textId="77777777" w:rsidR="00A879D9" w:rsidRDefault="00A879D9" w:rsidP="00764806">
      <w:pPr>
        <w:jc w:val="right"/>
      </w:pPr>
    </w:p>
    <w:p w14:paraId="11C487A0" w14:textId="77777777" w:rsidR="00E47CC3" w:rsidRDefault="004E1F0F">
      <w:r>
        <w:rPr>
          <w:noProof/>
        </w:rPr>
        <mc:AlternateContent>
          <mc:Choice Requires="wps">
            <w:drawing>
              <wp:anchor distT="0" distB="0" distL="114300" distR="114300" simplePos="0" relativeHeight="251659264" behindDoc="0" locked="0" layoutInCell="1" allowOverlap="1" wp14:anchorId="46AF729C" wp14:editId="53CCADF3">
                <wp:simplePos x="0" y="0"/>
                <wp:positionH relativeFrom="column">
                  <wp:posOffset>-213360</wp:posOffset>
                </wp:positionH>
                <wp:positionV relativeFrom="paragraph">
                  <wp:posOffset>149225</wp:posOffset>
                </wp:positionV>
                <wp:extent cx="5905500" cy="571500"/>
                <wp:effectExtent l="19050" t="19050" r="19050" b="19050"/>
                <wp:wrapNone/>
                <wp:docPr id="2" name="正方形/長方形 2"/>
                <wp:cNvGraphicFramePr/>
                <a:graphic xmlns:a="http://schemas.openxmlformats.org/drawingml/2006/main">
                  <a:graphicData uri="http://schemas.microsoft.com/office/word/2010/wordprocessingShape">
                    <wps:wsp>
                      <wps:cNvSpPr/>
                      <wps:spPr>
                        <a:xfrm>
                          <a:off x="0" y="0"/>
                          <a:ext cx="5905500" cy="571500"/>
                        </a:xfrm>
                        <a:prstGeom prst="rect">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0D946C" id="正方形/長方形 2" o:spid="_x0000_s1026" style="position:absolute;left:0;text-align:left;margin-left:-16.8pt;margin-top:11.75pt;width:465pt;height: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" filled="f" strokecolor="#4472c4 [3204]" strokeweight="2.25pt"/>
            </w:pict>
          </mc:Fallback>
        </mc:AlternateContent>
      </w:r>
    </w:p>
    <w:p w14:paraId="3B93B3BB" w14:textId="556C161B" w:rsidR="00764806" w:rsidRPr="004E1F0F" w:rsidRDefault="0045140B">
      <w:pPr>
        <w:rPr>
          <w:b/>
          <w:bCs/>
        </w:rPr>
      </w:pPr>
      <w:r>
        <w:rPr>
          <w:rFonts w:hint="eastAsia"/>
          <w:b/>
          <w:bCs/>
        </w:rPr>
        <w:t>ガラス製品配送用</w:t>
      </w:r>
      <w:r w:rsidR="00764806" w:rsidRPr="004E1F0F">
        <w:rPr>
          <w:rFonts w:hint="eastAsia"/>
          <w:b/>
          <w:bCs/>
        </w:rPr>
        <w:t>リターナブルパレット</w:t>
      </w:r>
      <w:r w:rsidR="001609EF" w:rsidRPr="00BB44B8">
        <w:rPr>
          <w:rFonts w:hint="eastAsia"/>
          <w:b/>
          <w:bCs/>
        </w:rPr>
        <w:t>適</w:t>
      </w:r>
      <w:r w:rsidR="00AE142D" w:rsidRPr="00BB44B8">
        <w:rPr>
          <w:rFonts w:hint="eastAsia"/>
          <w:b/>
          <w:bCs/>
        </w:rPr>
        <w:t>正</w:t>
      </w:r>
      <w:r w:rsidR="00764806" w:rsidRPr="00BB44B8">
        <w:rPr>
          <w:rFonts w:hint="eastAsia"/>
          <w:b/>
          <w:bCs/>
        </w:rPr>
        <w:t>使用</w:t>
      </w:r>
      <w:r w:rsidR="00AE142D" w:rsidRPr="00BB44B8">
        <w:rPr>
          <w:rFonts w:hint="eastAsia"/>
          <w:b/>
          <w:bCs/>
        </w:rPr>
        <w:t>推進</w:t>
      </w:r>
      <w:r w:rsidR="00764806" w:rsidRPr="00BB44B8">
        <w:rPr>
          <w:rFonts w:hint="eastAsia"/>
          <w:b/>
          <w:bCs/>
        </w:rPr>
        <w:t>に向</w:t>
      </w:r>
      <w:r w:rsidR="00764806" w:rsidRPr="004E1F0F">
        <w:rPr>
          <w:rFonts w:hint="eastAsia"/>
          <w:b/>
          <w:bCs/>
        </w:rPr>
        <w:t>けての活動について</w:t>
      </w:r>
    </w:p>
    <w:p w14:paraId="2C62E606" w14:textId="77777777" w:rsidR="00764806" w:rsidRPr="0045140B" w:rsidRDefault="00764806"/>
    <w:p w14:paraId="691F4CE5" w14:textId="77777777" w:rsidR="00A879D9" w:rsidRDefault="00A879D9"/>
    <w:p w14:paraId="70D5C96D" w14:textId="1CD4F60E" w:rsidR="00764806" w:rsidRDefault="00764806" w:rsidP="00BD06CE">
      <w:pPr>
        <w:pStyle w:val="a4"/>
      </w:pPr>
      <w:r>
        <w:rPr>
          <w:rFonts w:hint="eastAsia"/>
        </w:rPr>
        <w:t>板硝子協会</w:t>
      </w:r>
      <w:r w:rsidR="00583D91">
        <w:rPr>
          <w:rFonts w:hint="eastAsia"/>
        </w:rPr>
        <w:t>は</w:t>
      </w:r>
      <w:r w:rsidR="0098194B">
        <w:rPr>
          <w:rFonts w:hint="eastAsia"/>
        </w:rPr>
        <w:t>、以前</w:t>
      </w:r>
      <w:r w:rsidR="00583D91">
        <w:rPr>
          <w:rFonts w:hint="eastAsia"/>
        </w:rPr>
        <w:t>より取り組ん</w:t>
      </w:r>
      <w:r w:rsidR="0098194B">
        <w:rPr>
          <w:rFonts w:hint="eastAsia"/>
        </w:rPr>
        <w:t>でいる</w:t>
      </w:r>
      <w:r w:rsidR="00583D91">
        <w:rPr>
          <w:rFonts w:hint="eastAsia"/>
        </w:rPr>
        <w:t>リターナブルパレット（鉄製</w:t>
      </w:r>
      <w:r w:rsidR="0098194B">
        <w:rPr>
          <w:rFonts w:hint="eastAsia"/>
        </w:rPr>
        <w:t>パレット・ラック等）</w:t>
      </w:r>
      <w:r w:rsidR="00583D91">
        <w:rPr>
          <w:rFonts w:hint="eastAsia"/>
        </w:rPr>
        <w:t>の</w:t>
      </w:r>
      <w:r w:rsidR="0098194B" w:rsidRPr="00BB44B8">
        <w:rPr>
          <w:rFonts w:hint="eastAsia"/>
        </w:rPr>
        <w:t>適正使用</w:t>
      </w:r>
      <w:r w:rsidR="00AE142D" w:rsidRPr="00BB44B8">
        <w:rPr>
          <w:rFonts w:hint="eastAsia"/>
        </w:rPr>
        <w:t>推進</w:t>
      </w:r>
      <w:r w:rsidR="0098194B" w:rsidRPr="00BB44B8">
        <w:rPr>
          <w:rFonts w:hint="eastAsia"/>
        </w:rPr>
        <w:t>の</w:t>
      </w:r>
      <w:r w:rsidR="0098194B">
        <w:rPr>
          <w:rFonts w:hint="eastAsia"/>
        </w:rPr>
        <w:t>ための活動に</w:t>
      </w:r>
      <w:r w:rsidR="007271A7">
        <w:rPr>
          <w:rFonts w:hint="eastAsia"/>
        </w:rPr>
        <w:t>全国安全硝子工業会、全国複層硝子工業会の</w:t>
      </w:r>
      <w:r w:rsidR="0098194B">
        <w:rPr>
          <w:rFonts w:hint="eastAsia"/>
        </w:rPr>
        <w:t>ご賛同を得て</w:t>
      </w:r>
      <w:r w:rsidR="007271A7">
        <w:rPr>
          <w:rFonts w:hint="eastAsia"/>
        </w:rPr>
        <w:t>、</w:t>
      </w:r>
      <w:r w:rsidR="0098194B">
        <w:rPr>
          <w:rFonts w:hint="eastAsia"/>
        </w:rPr>
        <w:t>さら</w:t>
      </w:r>
      <w:r>
        <w:rPr>
          <w:rFonts w:hint="eastAsia"/>
        </w:rPr>
        <w:t>に積極的に取り組みを開始します。</w:t>
      </w:r>
    </w:p>
    <w:p w14:paraId="549D4B70" w14:textId="77777777" w:rsidR="004E1F0F" w:rsidRPr="007271A7" w:rsidRDefault="004E1F0F" w:rsidP="00BD06CE">
      <w:pPr>
        <w:pStyle w:val="a4"/>
      </w:pPr>
    </w:p>
    <w:p w14:paraId="3163F6CF" w14:textId="49BE2185" w:rsidR="004E1F0F" w:rsidRPr="004E1F0F" w:rsidRDefault="004E1F0F" w:rsidP="00BD06CE">
      <w:pPr>
        <w:pStyle w:val="a4"/>
        <w:rPr>
          <w:rStyle w:val="a3"/>
          <w:b w:val="0"/>
          <w:bCs w:val="0"/>
        </w:rPr>
      </w:pPr>
      <w:r w:rsidRPr="004E1F0F">
        <w:rPr>
          <w:rStyle w:val="a3"/>
          <w:rFonts w:hint="eastAsia"/>
          <w:b w:val="0"/>
          <w:bCs w:val="0"/>
        </w:rPr>
        <w:t>弊協会の会員</w:t>
      </w:r>
      <w:r w:rsidR="0098194B">
        <w:rPr>
          <w:rStyle w:val="a3"/>
          <w:rFonts w:hint="eastAsia"/>
          <w:b w:val="0"/>
          <w:bCs w:val="0"/>
        </w:rPr>
        <w:t>会</w:t>
      </w:r>
      <w:r w:rsidRPr="004E1F0F">
        <w:rPr>
          <w:rStyle w:val="a3"/>
          <w:rFonts w:hint="eastAsia"/>
          <w:b w:val="0"/>
          <w:bCs w:val="0"/>
        </w:rPr>
        <w:t>社及び</w:t>
      </w:r>
      <w:r w:rsidR="007271A7">
        <w:rPr>
          <w:rStyle w:val="a3"/>
          <w:rFonts w:hint="eastAsia"/>
          <w:b w:val="0"/>
          <w:bCs w:val="0"/>
        </w:rPr>
        <w:t>各工業会の会員会</w:t>
      </w:r>
      <w:r w:rsidRPr="004E1F0F">
        <w:rPr>
          <w:rStyle w:val="a3"/>
          <w:rFonts w:hint="eastAsia"/>
          <w:b w:val="0"/>
          <w:bCs w:val="0"/>
        </w:rPr>
        <w:t>社は、社名・登録商標・トレードマークが付された各社専用パレットを製作していますが、</w:t>
      </w:r>
      <w:r w:rsidRPr="004E1F0F">
        <w:rPr>
          <w:rStyle w:val="a3"/>
          <w:rFonts w:hint="eastAsia"/>
          <w:b w:val="0"/>
          <w:bCs w:val="0"/>
          <w:u w:val="single"/>
        </w:rPr>
        <w:t>廃棄削減・省資源</w:t>
      </w:r>
      <w:r w:rsidRPr="004E1F0F">
        <w:rPr>
          <w:rStyle w:val="a3"/>
          <w:rFonts w:hint="eastAsia"/>
          <w:b w:val="0"/>
          <w:bCs w:val="0"/>
        </w:rPr>
        <w:t>の観点から、リターナブルタイプ</w:t>
      </w:r>
      <w:r w:rsidR="0098194B" w:rsidRPr="008A0507">
        <w:rPr>
          <w:rStyle w:val="a3"/>
          <w:rFonts w:hint="eastAsia"/>
          <w:b w:val="0"/>
          <w:bCs w:val="0"/>
        </w:rPr>
        <w:t>の</w:t>
      </w:r>
      <w:r w:rsidRPr="004E1F0F">
        <w:rPr>
          <w:rStyle w:val="a3"/>
          <w:rFonts w:hint="eastAsia"/>
          <w:b w:val="0"/>
          <w:bCs w:val="0"/>
        </w:rPr>
        <w:t>パレット</w:t>
      </w:r>
      <w:r w:rsidR="0098194B">
        <w:rPr>
          <w:rStyle w:val="a3"/>
          <w:rFonts w:hint="eastAsia"/>
          <w:b w:val="0"/>
          <w:bCs w:val="0"/>
        </w:rPr>
        <w:t>（再利用可能な鉄製パレット・ラック）</w:t>
      </w:r>
      <w:r w:rsidRPr="004E1F0F">
        <w:rPr>
          <w:rStyle w:val="a3"/>
          <w:rFonts w:hint="eastAsia"/>
          <w:b w:val="0"/>
          <w:bCs w:val="0"/>
        </w:rPr>
        <w:t>を採用しています。</w:t>
      </w:r>
    </w:p>
    <w:p w14:paraId="630024FC" w14:textId="77777777" w:rsidR="004E1F0F" w:rsidRPr="004E1F0F" w:rsidRDefault="004E1F0F" w:rsidP="00BD06CE">
      <w:pPr>
        <w:pStyle w:val="a4"/>
        <w:rPr>
          <w:rStyle w:val="a3"/>
          <w:b w:val="0"/>
          <w:bCs w:val="0"/>
        </w:rPr>
      </w:pPr>
      <w:r w:rsidRPr="004E1F0F">
        <w:rPr>
          <w:rStyle w:val="a3"/>
          <w:rFonts w:hint="eastAsia"/>
          <w:b w:val="0"/>
          <w:bCs w:val="0"/>
        </w:rPr>
        <w:t>リターナブルパレットは、パレット所有各社の製品の配送のために繰り返し使用する事を目的として製作・管理している、</w:t>
      </w:r>
      <w:r w:rsidRPr="004E1F0F">
        <w:rPr>
          <w:rStyle w:val="a3"/>
          <w:rFonts w:hint="eastAsia"/>
          <w:b w:val="0"/>
          <w:bCs w:val="0"/>
          <w:u w:val="single"/>
        </w:rPr>
        <w:t>各社が所</w:t>
      </w:r>
      <w:r w:rsidRPr="004E1F0F">
        <w:rPr>
          <w:rStyle w:val="a3"/>
          <w:rFonts w:hint="eastAsia"/>
          <w:b w:val="0"/>
          <w:bCs w:val="0"/>
          <w:color w:val="000000" w:themeColor="text1"/>
          <w:u w:val="single"/>
        </w:rPr>
        <w:t>有権を有する資産</w:t>
      </w:r>
      <w:r w:rsidRPr="004E1F0F">
        <w:rPr>
          <w:rStyle w:val="a3"/>
          <w:rFonts w:hint="eastAsia"/>
          <w:b w:val="0"/>
          <w:bCs w:val="0"/>
        </w:rPr>
        <w:t>です。</w:t>
      </w:r>
    </w:p>
    <w:p w14:paraId="1797C3D2" w14:textId="77777777" w:rsidR="00764806" w:rsidRPr="004E1F0F" w:rsidRDefault="00764806" w:rsidP="00BD06CE">
      <w:pPr>
        <w:pStyle w:val="a4"/>
      </w:pPr>
    </w:p>
    <w:p w14:paraId="344014D3" w14:textId="1313E421" w:rsidR="00764806" w:rsidRDefault="00764806" w:rsidP="00BD06CE">
      <w:pPr>
        <w:pStyle w:val="a4"/>
      </w:pPr>
      <w:r>
        <w:rPr>
          <w:rFonts w:hint="eastAsia"/>
        </w:rPr>
        <w:t>現在市場に流通しているリターナブルパレットは約１０万個と言われていますが、年間約１万個が</w:t>
      </w:r>
      <w:r w:rsidR="00A4124C">
        <w:rPr>
          <w:rFonts w:hint="eastAsia"/>
        </w:rPr>
        <w:t>回収不能となっている</w:t>
      </w:r>
      <w:r>
        <w:rPr>
          <w:rFonts w:hint="eastAsia"/>
        </w:rPr>
        <w:t>のが実情です。</w:t>
      </w:r>
    </w:p>
    <w:p w14:paraId="196BABB6" w14:textId="41B9C361" w:rsidR="001115FD" w:rsidRDefault="00A4124C" w:rsidP="00BD06CE">
      <w:pPr>
        <w:pStyle w:val="a4"/>
      </w:pPr>
      <w:r>
        <w:rPr>
          <w:rFonts w:hint="eastAsia"/>
        </w:rPr>
        <w:t>回収不能</w:t>
      </w:r>
      <w:r w:rsidR="001115FD">
        <w:rPr>
          <w:rFonts w:hint="eastAsia"/>
        </w:rPr>
        <w:t>の理由は市場で・本来のガラス</w:t>
      </w:r>
      <w:r>
        <w:rPr>
          <w:rFonts w:hint="eastAsia"/>
        </w:rPr>
        <w:t>配送・</w:t>
      </w:r>
      <w:r w:rsidR="001115FD">
        <w:rPr>
          <w:rFonts w:hint="eastAsia"/>
        </w:rPr>
        <w:t>保管の目的以外で</w:t>
      </w:r>
      <w:r>
        <w:rPr>
          <w:rFonts w:hint="eastAsia"/>
        </w:rPr>
        <w:t>流用</w:t>
      </w:r>
      <w:r w:rsidR="001115FD">
        <w:rPr>
          <w:rFonts w:hint="eastAsia"/>
        </w:rPr>
        <w:t>されそのまま返却されないケースや</w:t>
      </w:r>
      <w:r>
        <w:rPr>
          <w:rFonts w:hint="eastAsia"/>
        </w:rPr>
        <w:t>、・遠隔地に送られ放置され返却されないケース、・海外への製品輸出（ガラス製品以外も含む）のパレットとして使用され戻らないケース</w:t>
      </w:r>
      <w:r w:rsidR="001115FD">
        <w:rPr>
          <w:rFonts w:hint="eastAsia"/>
        </w:rPr>
        <w:t>、・鉄くずとして売却されるケース</w:t>
      </w:r>
      <w:r w:rsidR="001115FD">
        <w:t>etc.</w:t>
      </w:r>
      <w:r w:rsidR="001115FD">
        <w:rPr>
          <w:rFonts w:hint="eastAsia"/>
        </w:rPr>
        <w:t>様々</w:t>
      </w:r>
      <w:r w:rsidR="005B588A" w:rsidRPr="00BB44B8">
        <w:rPr>
          <w:rFonts w:hint="eastAsia"/>
        </w:rPr>
        <w:t>な不適切使用によるもの</w:t>
      </w:r>
      <w:r w:rsidR="001115FD">
        <w:rPr>
          <w:rFonts w:hint="eastAsia"/>
        </w:rPr>
        <w:t>です。</w:t>
      </w:r>
    </w:p>
    <w:p w14:paraId="6DE53F37" w14:textId="3BB89BBC" w:rsidR="00A4124C" w:rsidRDefault="00A4124C" w:rsidP="00BD06CE">
      <w:pPr>
        <w:pStyle w:val="a4"/>
      </w:pPr>
      <w:r>
        <w:rPr>
          <w:rFonts w:hint="eastAsia"/>
        </w:rPr>
        <w:t>これらの</w:t>
      </w:r>
      <w:r w:rsidR="005B588A" w:rsidRPr="00BB44B8">
        <w:rPr>
          <w:rFonts w:hint="eastAsia"/>
        </w:rPr>
        <w:t>不適切使用</w:t>
      </w:r>
      <w:r>
        <w:rPr>
          <w:rFonts w:hint="eastAsia"/>
        </w:rPr>
        <w:t>は、所有権を害する違法行為に当たる可能性があります。</w:t>
      </w:r>
    </w:p>
    <w:p w14:paraId="52A71C6A" w14:textId="77777777" w:rsidR="001609EF" w:rsidRPr="0086251F" w:rsidRDefault="001609EF" w:rsidP="00BD06CE">
      <w:pPr>
        <w:pStyle w:val="a4"/>
      </w:pPr>
    </w:p>
    <w:p w14:paraId="6FF9EA4B" w14:textId="176B1AA7" w:rsidR="001609EF" w:rsidRDefault="001609EF" w:rsidP="00BD06CE">
      <w:pPr>
        <w:pStyle w:val="a4"/>
      </w:pPr>
      <w:r>
        <w:rPr>
          <w:rFonts w:hint="eastAsia"/>
        </w:rPr>
        <w:t>板硝子協</w:t>
      </w:r>
      <w:r w:rsidRPr="009F2645">
        <w:rPr>
          <w:rFonts w:hint="eastAsia"/>
        </w:rPr>
        <w:t>会と</w:t>
      </w:r>
      <w:r w:rsidR="005B588A" w:rsidRPr="005B588A">
        <w:rPr>
          <w:rFonts w:hint="eastAsia"/>
          <w:color w:val="FF0000"/>
        </w:rPr>
        <w:t>、</w:t>
      </w:r>
      <w:r w:rsidR="007271A7">
        <w:rPr>
          <w:rFonts w:hint="eastAsia"/>
        </w:rPr>
        <w:t>全国安全硝子工業会、全国複層硝子工業会</w:t>
      </w:r>
      <w:r w:rsidR="007271A7" w:rsidRPr="005B588A">
        <w:rPr>
          <w:rFonts w:hint="eastAsia"/>
        </w:rPr>
        <w:t>の</w:t>
      </w:r>
      <w:r w:rsidR="005B588A" w:rsidRPr="00BB44B8">
        <w:rPr>
          <w:rFonts w:hint="eastAsia"/>
        </w:rPr>
        <w:t>3</w:t>
      </w:r>
      <w:r w:rsidR="005B588A" w:rsidRPr="00BB44B8">
        <w:rPr>
          <w:rFonts w:hint="eastAsia"/>
        </w:rPr>
        <w:t>団体及びその</w:t>
      </w:r>
      <w:r>
        <w:rPr>
          <w:rFonts w:hint="eastAsia"/>
        </w:rPr>
        <w:t>会員各社では</w:t>
      </w:r>
      <w:r>
        <w:rPr>
          <w:rFonts w:hint="eastAsia"/>
        </w:rPr>
        <w:t>202</w:t>
      </w:r>
      <w:r w:rsidR="007271A7">
        <w:rPr>
          <w:rFonts w:hint="eastAsia"/>
        </w:rPr>
        <w:t>1</w:t>
      </w:r>
      <w:r>
        <w:rPr>
          <w:rFonts w:hint="eastAsia"/>
        </w:rPr>
        <w:t>年</w:t>
      </w:r>
      <w:r w:rsidR="007271A7">
        <w:rPr>
          <w:rFonts w:hint="eastAsia"/>
        </w:rPr>
        <w:t>3</w:t>
      </w:r>
      <w:r>
        <w:rPr>
          <w:rFonts w:hint="eastAsia"/>
        </w:rPr>
        <w:t>月からリターナブルパレットが流通していると思われる関係先に</w:t>
      </w:r>
      <w:r w:rsidRPr="00BB44B8">
        <w:rPr>
          <w:rFonts w:hint="eastAsia"/>
        </w:rPr>
        <w:t>適</w:t>
      </w:r>
      <w:r w:rsidR="00AE142D" w:rsidRPr="00BB44B8">
        <w:rPr>
          <w:rFonts w:hint="eastAsia"/>
        </w:rPr>
        <w:t>正</w:t>
      </w:r>
      <w:r w:rsidRPr="00BB44B8">
        <w:rPr>
          <w:rFonts w:hint="eastAsia"/>
        </w:rPr>
        <w:t>使用</w:t>
      </w:r>
      <w:r w:rsidR="00AE142D" w:rsidRPr="00BB44B8">
        <w:rPr>
          <w:rFonts w:hint="eastAsia"/>
        </w:rPr>
        <w:t>推進</w:t>
      </w:r>
      <w:r>
        <w:rPr>
          <w:rFonts w:hint="eastAsia"/>
        </w:rPr>
        <w:t>のためのお願いを文章による</w:t>
      </w:r>
      <w:r w:rsidR="004E1F0F">
        <w:rPr>
          <w:rFonts w:hint="eastAsia"/>
        </w:rPr>
        <w:t>「適正使用に関する</w:t>
      </w:r>
      <w:r w:rsidR="00583D91">
        <w:rPr>
          <w:rFonts w:hint="eastAsia"/>
        </w:rPr>
        <w:t>共同宣言書</w:t>
      </w:r>
      <w:r>
        <w:rPr>
          <w:rFonts w:hint="eastAsia"/>
        </w:rPr>
        <w:t>」や「パンフレット、ポスター」、「業界紙」などを</w:t>
      </w:r>
      <w:r w:rsidR="004E1F0F">
        <w:rPr>
          <w:rFonts w:hint="eastAsia"/>
        </w:rPr>
        <w:t>通じ</w:t>
      </w:r>
      <w:r>
        <w:rPr>
          <w:rFonts w:hint="eastAsia"/>
        </w:rPr>
        <w:t>実施していきます。</w:t>
      </w:r>
    </w:p>
    <w:p w14:paraId="295C6DB4" w14:textId="59E969E8" w:rsidR="00A4124C" w:rsidRDefault="00A4124C" w:rsidP="00BD06CE">
      <w:pPr>
        <w:pStyle w:val="a4"/>
      </w:pPr>
    </w:p>
    <w:p w14:paraId="6A90C91D" w14:textId="1AD2882E" w:rsidR="00A4124C" w:rsidRDefault="00A4124C" w:rsidP="00BD06CE">
      <w:pPr>
        <w:pStyle w:val="a4"/>
      </w:pPr>
      <w:r>
        <w:rPr>
          <w:rFonts w:hint="eastAsia"/>
        </w:rPr>
        <w:t>なお、本件に関わるお問合せは、下記</w:t>
      </w:r>
      <w:r w:rsidR="00583D91">
        <w:rPr>
          <w:rFonts w:hint="eastAsia"/>
        </w:rPr>
        <w:t>のガラスメーカー</w:t>
      </w:r>
      <w:r w:rsidR="00583D91">
        <w:rPr>
          <w:rFonts w:hint="eastAsia"/>
        </w:rPr>
        <w:t>3</w:t>
      </w:r>
      <w:r w:rsidR="00583D91">
        <w:rPr>
          <w:rFonts w:hint="eastAsia"/>
        </w:rPr>
        <w:t>社</w:t>
      </w:r>
      <w:r>
        <w:rPr>
          <w:rFonts w:hint="eastAsia"/>
        </w:rPr>
        <w:t>までお願いします。</w:t>
      </w:r>
    </w:p>
    <w:p w14:paraId="0DA79472" w14:textId="4BB0F2FB" w:rsidR="00A4124C" w:rsidRDefault="00A4124C" w:rsidP="00BD06CE">
      <w:pPr>
        <w:pStyle w:val="a4"/>
      </w:pPr>
      <w:r>
        <w:rPr>
          <w:rFonts w:hint="eastAsia"/>
        </w:rPr>
        <w:t>AGC</w:t>
      </w:r>
      <w:r>
        <w:rPr>
          <w:rFonts w:hint="eastAsia"/>
        </w:rPr>
        <w:t xml:space="preserve">株式会社　　　　</w:t>
      </w:r>
      <w:r>
        <w:rPr>
          <w:rFonts w:hint="eastAsia"/>
        </w:rPr>
        <w:t xml:space="preserve"> 0</w:t>
      </w:r>
      <w:r>
        <w:t>3-6802-7508</w:t>
      </w:r>
      <w:r w:rsidR="001A55E4">
        <w:rPr>
          <w:rFonts w:hint="eastAsia"/>
        </w:rPr>
        <w:t>（</w:t>
      </w:r>
      <w:r w:rsidR="00516E82">
        <w:rPr>
          <w:rFonts w:hint="eastAsia"/>
        </w:rPr>
        <w:t>9:00</w:t>
      </w:r>
      <w:r w:rsidR="00516E82">
        <w:rPr>
          <w:rFonts w:hint="eastAsia"/>
        </w:rPr>
        <w:t>～</w:t>
      </w:r>
      <w:r w:rsidR="00516E82">
        <w:rPr>
          <w:rFonts w:hint="eastAsia"/>
        </w:rPr>
        <w:t>17:00</w:t>
      </w:r>
      <w:r w:rsidR="00516E82">
        <w:rPr>
          <w:rFonts w:hint="eastAsia"/>
        </w:rPr>
        <w:t xml:space="preserve">　</w:t>
      </w:r>
      <w:r w:rsidR="001A55E4">
        <w:rPr>
          <w:rFonts w:hint="eastAsia"/>
        </w:rPr>
        <w:t>除く</w:t>
      </w:r>
      <w:r w:rsidR="001A55E4">
        <w:rPr>
          <w:rFonts w:hint="eastAsia"/>
        </w:rPr>
        <w:t xml:space="preserve"> </w:t>
      </w:r>
      <w:r w:rsidR="001A55E4">
        <w:t>12:00</w:t>
      </w:r>
      <w:r w:rsidR="001A55E4">
        <w:rPr>
          <w:rFonts w:hint="eastAsia"/>
        </w:rPr>
        <w:t>～</w:t>
      </w:r>
      <w:r w:rsidR="001A55E4">
        <w:t>13:00</w:t>
      </w:r>
      <w:r w:rsidR="001A55E4">
        <w:rPr>
          <w:rFonts w:hint="eastAsia"/>
        </w:rPr>
        <w:t>、土、日、祝日）</w:t>
      </w:r>
    </w:p>
    <w:p w14:paraId="16AA2E42" w14:textId="5B2DB75D" w:rsidR="00A4124C" w:rsidRDefault="00A4124C" w:rsidP="00BD06CE">
      <w:pPr>
        <w:pStyle w:val="a4"/>
      </w:pPr>
      <w:r>
        <w:rPr>
          <w:rFonts w:hint="eastAsia"/>
        </w:rPr>
        <w:t xml:space="preserve">日本板硝子株式会社　　</w:t>
      </w:r>
      <w:r w:rsidR="00A936F6">
        <w:rPr>
          <w:rFonts w:hint="eastAsia"/>
        </w:rPr>
        <w:t>0</w:t>
      </w:r>
      <w:r w:rsidR="00A936F6">
        <w:t>436-61-9042</w:t>
      </w:r>
      <w:r w:rsidR="00A936F6">
        <w:rPr>
          <w:rFonts w:hint="eastAsia"/>
        </w:rPr>
        <w:t>（</w:t>
      </w:r>
      <w:r w:rsidR="00516E82">
        <w:rPr>
          <w:rFonts w:hint="eastAsia"/>
        </w:rPr>
        <w:t>9:00</w:t>
      </w:r>
      <w:r w:rsidR="00516E82">
        <w:rPr>
          <w:rFonts w:hint="eastAsia"/>
        </w:rPr>
        <w:t>～</w:t>
      </w:r>
      <w:r w:rsidR="00516E82">
        <w:rPr>
          <w:rFonts w:hint="eastAsia"/>
        </w:rPr>
        <w:t>17:00</w:t>
      </w:r>
      <w:r w:rsidR="00516E82">
        <w:rPr>
          <w:rFonts w:hint="eastAsia"/>
        </w:rPr>
        <w:t xml:space="preserve">　</w:t>
      </w:r>
      <w:r w:rsidR="001A55E4">
        <w:rPr>
          <w:rFonts w:hint="eastAsia"/>
        </w:rPr>
        <w:t>除く</w:t>
      </w:r>
      <w:r w:rsidR="001A55E4">
        <w:rPr>
          <w:rFonts w:hint="eastAsia"/>
        </w:rPr>
        <w:t xml:space="preserve"> </w:t>
      </w:r>
      <w:r w:rsidR="001A55E4">
        <w:t>12:00</w:t>
      </w:r>
      <w:r w:rsidR="001A55E4">
        <w:rPr>
          <w:rFonts w:hint="eastAsia"/>
        </w:rPr>
        <w:t>～</w:t>
      </w:r>
      <w:r w:rsidR="001A55E4">
        <w:t>13:00</w:t>
      </w:r>
      <w:r w:rsidR="001A55E4">
        <w:rPr>
          <w:rFonts w:hint="eastAsia"/>
        </w:rPr>
        <w:t>、土、日、祝日）</w:t>
      </w:r>
    </w:p>
    <w:p w14:paraId="0F1D4609" w14:textId="246E1093" w:rsidR="00A4124C" w:rsidRDefault="001A55E4" w:rsidP="00BD06CE">
      <w:pPr>
        <w:pStyle w:val="a4"/>
      </w:pPr>
      <w:r>
        <w:rPr>
          <w:rFonts w:hint="eastAsia"/>
        </w:rPr>
        <w:t xml:space="preserve">セントラル硝子株式会社　</w:t>
      </w:r>
      <w:r>
        <w:rPr>
          <w:rFonts w:hint="eastAsia"/>
        </w:rPr>
        <w:t>0</w:t>
      </w:r>
      <w:r>
        <w:t>120-27-1219</w:t>
      </w:r>
      <w:r>
        <w:rPr>
          <w:rFonts w:hint="eastAsia"/>
        </w:rPr>
        <w:t>（</w:t>
      </w:r>
      <w:r w:rsidR="00516E82">
        <w:rPr>
          <w:rFonts w:hint="eastAsia"/>
        </w:rPr>
        <w:t>9:00</w:t>
      </w:r>
      <w:r w:rsidR="00516E82">
        <w:rPr>
          <w:rFonts w:hint="eastAsia"/>
        </w:rPr>
        <w:t>～</w:t>
      </w:r>
      <w:r w:rsidR="00516E82">
        <w:rPr>
          <w:rFonts w:hint="eastAsia"/>
        </w:rPr>
        <w:t>17:30</w:t>
      </w:r>
      <w:r w:rsidR="00516E82">
        <w:rPr>
          <w:rFonts w:hint="eastAsia"/>
        </w:rPr>
        <w:t xml:space="preserve">　</w:t>
      </w:r>
      <w:r>
        <w:rPr>
          <w:rFonts w:hint="eastAsia"/>
        </w:rPr>
        <w:t>除く</w:t>
      </w:r>
      <w:r>
        <w:rPr>
          <w:rFonts w:hint="eastAsia"/>
        </w:rPr>
        <w:t xml:space="preserve"> </w:t>
      </w:r>
      <w:r>
        <w:t>12:00</w:t>
      </w:r>
      <w:r>
        <w:rPr>
          <w:rFonts w:hint="eastAsia"/>
        </w:rPr>
        <w:t>～</w:t>
      </w:r>
      <w:r>
        <w:t>13:00</w:t>
      </w:r>
      <w:r>
        <w:rPr>
          <w:rFonts w:hint="eastAsia"/>
        </w:rPr>
        <w:t>、土、日、祝日）</w:t>
      </w:r>
    </w:p>
    <w:p w14:paraId="3845D39D" w14:textId="77777777" w:rsidR="00A4124C" w:rsidRDefault="00A4124C" w:rsidP="00BD06CE">
      <w:pPr>
        <w:pStyle w:val="a4"/>
      </w:pPr>
    </w:p>
    <w:sectPr w:rsidR="00A4124C" w:rsidSect="00BA6DC0">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E92D39" w14:textId="77777777" w:rsidR="00F15C47" w:rsidRDefault="00F15C47" w:rsidP="008A0507">
      <w:r>
        <w:separator/>
      </w:r>
    </w:p>
  </w:endnote>
  <w:endnote w:type="continuationSeparator" w:id="0">
    <w:p w14:paraId="72379397" w14:textId="77777777" w:rsidR="00F15C47" w:rsidRDefault="00F15C47" w:rsidP="008A0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haroni">
    <w:altName w:val="Aharoni"/>
    <w:charset w:val="B1"/>
    <w:family w:val="auto"/>
    <w:pitch w:val="variable"/>
    <w:sig w:usb0="00000803" w:usb1="00000000" w:usb2="00000000" w:usb3="00000000" w:csb0="0000002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DE495D" w14:textId="77777777" w:rsidR="00F15C47" w:rsidRDefault="00F15C47" w:rsidP="008A0507">
      <w:r>
        <w:separator/>
      </w:r>
    </w:p>
  </w:footnote>
  <w:footnote w:type="continuationSeparator" w:id="0">
    <w:p w14:paraId="7DB7C694" w14:textId="77777777" w:rsidR="00F15C47" w:rsidRDefault="00F15C47" w:rsidP="008A05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806"/>
    <w:rsid w:val="00030C18"/>
    <w:rsid w:val="001115FD"/>
    <w:rsid w:val="001609EF"/>
    <w:rsid w:val="001A55E4"/>
    <w:rsid w:val="0045140B"/>
    <w:rsid w:val="004E1F0F"/>
    <w:rsid w:val="00516E82"/>
    <w:rsid w:val="00583D91"/>
    <w:rsid w:val="005B588A"/>
    <w:rsid w:val="00641AE6"/>
    <w:rsid w:val="007271A7"/>
    <w:rsid w:val="00747A5C"/>
    <w:rsid w:val="00764806"/>
    <w:rsid w:val="0081036B"/>
    <w:rsid w:val="0086251F"/>
    <w:rsid w:val="008A0507"/>
    <w:rsid w:val="0098194B"/>
    <w:rsid w:val="009F2645"/>
    <w:rsid w:val="00A4124C"/>
    <w:rsid w:val="00A879D9"/>
    <w:rsid w:val="00A936F6"/>
    <w:rsid w:val="00AE142D"/>
    <w:rsid w:val="00BA6DC0"/>
    <w:rsid w:val="00BB44B8"/>
    <w:rsid w:val="00BC4A4F"/>
    <w:rsid w:val="00BD06CE"/>
    <w:rsid w:val="00D06BBE"/>
    <w:rsid w:val="00D110F5"/>
    <w:rsid w:val="00D543F2"/>
    <w:rsid w:val="00E47CC3"/>
    <w:rsid w:val="00E54099"/>
    <w:rsid w:val="00F15C47"/>
    <w:rsid w:val="00F444A7"/>
    <w:rsid w:val="00FB26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5B8CF4"/>
  <w15:chartTrackingRefBased/>
  <w15:docId w15:val="{C8F85716-B89A-4D62-AB7E-983EDDD87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480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E1F0F"/>
    <w:rPr>
      <w:b/>
      <w:bCs/>
    </w:rPr>
  </w:style>
  <w:style w:type="paragraph" w:styleId="a4">
    <w:name w:val="No Spacing"/>
    <w:uiPriority w:val="1"/>
    <w:qFormat/>
    <w:rsid w:val="00BD06CE"/>
    <w:pPr>
      <w:widowControl w:val="0"/>
      <w:jc w:val="both"/>
    </w:pPr>
    <w:rPr>
      <w:rFonts w:ascii="Century" w:eastAsia="ＭＳ 明朝" w:hAnsi="Century" w:cs="Times New Roman"/>
      <w:szCs w:val="24"/>
    </w:rPr>
  </w:style>
  <w:style w:type="paragraph" w:styleId="a5">
    <w:name w:val="header"/>
    <w:basedOn w:val="a"/>
    <w:link w:val="a6"/>
    <w:uiPriority w:val="99"/>
    <w:unhideWhenUsed/>
    <w:rsid w:val="008A0507"/>
    <w:pPr>
      <w:tabs>
        <w:tab w:val="center" w:pos="4252"/>
        <w:tab w:val="right" w:pos="8504"/>
      </w:tabs>
      <w:snapToGrid w:val="0"/>
    </w:pPr>
  </w:style>
  <w:style w:type="character" w:customStyle="1" w:styleId="a6">
    <w:name w:val="ヘッダー (文字)"/>
    <w:basedOn w:val="a0"/>
    <w:link w:val="a5"/>
    <w:uiPriority w:val="99"/>
    <w:rsid w:val="008A0507"/>
    <w:rPr>
      <w:rFonts w:ascii="Century" w:eastAsia="ＭＳ 明朝" w:hAnsi="Century" w:cs="Times New Roman"/>
      <w:szCs w:val="24"/>
    </w:rPr>
  </w:style>
  <w:style w:type="paragraph" w:styleId="a7">
    <w:name w:val="footer"/>
    <w:basedOn w:val="a"/>
    <w:link w:val="a8"/>
    <w:uiPriority w:val="99"/>
    <w:unhideWhenUsed/>
    <w:rsid w:val="008A0507"/>
    <w:pPr>
      <w:tabs>
        <w:tab w:val="center" w:pos="4252"/>
        <w:tab w:val="right" w:pos="8504"/>
      </w:tabs>
      <w:snapToGrid w:val="0"/>
    </w:pPr>
  </w:style>
  <w:style w:type="character" w:customStyle="1" w:styleId="a8">
    <w:name w:val="フッター (文字)"/>
    <w:basedOn w:val="a0"/>
    <w:link w:val="a7"/>
    <w:uiPriority w:val="99"/>
    <w:rsid w:val="008A050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718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0D2C3-32E6-4AF7-94C8-93666F849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森谷 茂明</dc:creator>
  <cp:keywords/>
  <dc:description/>
  <cp:lastModifiedBy>池田 誠</cp:lastModifiedBy>
  <cp:revision>2</cp:revision>
  <cp:lastPrinted>2020-01-06T07:34:00Z</cp:lastPrinted>
  <dcterms:created xsi:type="dcterms:W3CDTF">2021-03-11T01:21:00Z</dcterms:created>
  <dcterms:modified xsi:type="dcterms:W3CDTF">2021-03-11T01:21:00Z</dcterms:modified>
</cp:coreProperties>
</file>